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08" w:rsidRPr="009327D4" w:rsidRDefault="009327D4" w:rsidP="009327D4">
      <w:pPr>
        <w:tabs>
          <w:tab w:val="left" w:pos="7032"/>
        </w:tabs>
        <w:jc w:val="right"/>
        <w:rPr>
          <w:color w:val="000000" w:themeColor="text1"/>
          <w:sz w:val="27"/>
          <w:szCs w:val="27"/>
        </w:rPr>
      </w:pPr>
      <w:bookmarkStart w:id="0" w:name="_GoBack"/>
      <w:bookmarkEnd w:id="0"/>
      <w:r>
        <w:rPr>
          <w:color w:val="000000" w:themeColor="text1"/>
          <w:sz w:val="27"/>
          <w:szCs w:val="27"/>
        </w:rPr>
        <w:t>Новая редакция к вопросу повестки № 11</w:t>
      </w:r>
    </w:p>
    <w:p w:rsidR="008C5E08" w:rsidRPr="009327D4" w:rsidRDefault="008C5E08">
      <w:pPr>
        <w:jc w:val="both"/>
        <w:rPr>
          <w:color w:val="000000" w:themeColor="text1"/>
          <w:sz w:val="27"/>
          <w:szCs w:val="27"/>
        </w:rPr>
      </w:pPr>
    </w:p>
    <w:p w:rsidR="008C5E08" w:rsidRPr="009327D4" w:rsidRDefault="008C5E08">
      <w:pPr>
        <w:jc w:val="both"/>
        <w:rPr>
          <w:color w:val="000000" w:themeColor="text1"/>
          <w:sz w:val="27"/>
          <w:szCs w:val="27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8C5E08" w:rsidRPr="009327D4">
        <w:tc>
          <w:tcPr>
            <w:tcW w:w="4678" w:type="dxa"/>
          </w:tcPr>
          <w:p w:rsidR="008C5E08" w:rsidRPr="009327D4" w:rsidRDefault="004C275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9327D4">
              <w:rPr>
                <w:color w:val="000000" w:themeColor="text1"/>
                <w:sz w:val="27"/>
                <w:szCs w:val="27"/>
              </w:rPr>
              <w:t>Об отчете Губернатора Алтайского края о результатах деятельности Правительства Алтайского края за 2022 год</w:t>
            </w:r>
          </w:p>
        </w:tc>
        <w:tc>
          <w:tcPr>
            <w:tcW w:w="4962" w:type="dxa"/>
          </w:tcPr>
          <w:p w:rsidR="008C5E08" w:rsidRPr="009327D4" w:rsidRDefault="004C2756">
            <w:pPr>
              <w:keepNext/>
              <w:widowControl w:val="0"/>
              <w:ind w:right="-108"/>
              <w:jc w:val="right"/>
              <w:rPr>
                <w:color w:val="000000" w:themeColor="text1"/>
                <w:sz w:val="27"/>
                <w:szCs w:val="27"/>
              </w:rPr>
            </w:pPr>
            <w:r w:rsidRPr="009327D4">
              <w:rPr>
                <w:color w:val="000000" w:themeColor="text1"/>
                <w:sz w:val="27"/>
                <w:szCs w:val="27"/>
              </w:rPr>
              <w:t>Проект</w:t>
            </w:r>
          </w:p>
        </w:tc>
      </w:tr>
    </w:tbl>
    <w:p w:rsidR="008C5E08" w:rsidRPr="009327D4" w:rsidRDefault="008C5E08">
      <w:pPr>
        <w:jc w:val="both"/>
        <w:rPr>
          <w:color w:val="000000" w:themeColor="text1"/>
          <w:sz w:val="27"/>
          <w:szCs w:val="27"/>
        </w:rPr>
      </w:pPr>
    </w:p>
    <w:p w:rsidR="008C5E08" w:rsidRPr="009327D4" w:rsidRDefault="008C5E08">
      <w:pPr>
        <w:jc w:val="both"/>
        <w:rPr>
          <w:color w:val="000000" w:themeColor="text1"/>
          <w:sz w:val="27"/>
          <w:szCs w:val="27"/>
        </w:rPr>
      </w:pP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Заслушав в соответствии со статьей 81 Устава (Основного Закона) Алтайского края отчет Губернатора Алтайского края о результатах деятельности Правительства Алтайского края за 2022 год, Алтайское краевое Законодательное Собрание отмечает, что Правительством Алтайского края в отчетном году осуществлен комплекс мер, направленных на обеспечение экономической устойчивости, реализацию стратегических задач, поставленных Президентом Российской Федерации Путиным В.В., региональных проектов в рамках национальных проектов, которые способствовали смягчению последствий введения санкций, снижению инфляционных процессов.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Экономическая устойчивость была обеспечена стабильностью ключевых отраслей. По итогам 2022 года индекс промышленного производства превысил прошлогодний уровень и составил 101,9 процента. Увеличено  производство в стратегически важных отраслях: в вагоностроении (в 1,3 раза), в производстве одежды (в 1,6 раза), в производстве лекарственных средств (на 13,4 процента). Объем валовой продукции сельского хозяйства составил 267,5 миллиарда рублей, индекс производства – 103,8 процента, получен рекордный урожай зерновых, масличных культур. Сохранены лидирующие позиции в Российской Федерации по производству муки, крупы. Ввод жилья превысил 920 тысяч квадратных метров, что на 15,7 процента больше среднего пятилетнего уровня. На развитие экономики направлено 145,9 миллиарда рублей инвестиций в основной капитал. Валовой региональный продукт оценивается в размере 995,6 миллиарда рублей с темпом роста в сопоставимых ценах 1 процент.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В 2022 году удалось сохранить стабильную занятость, добиться снижения безработицы. Численность официально зарегистрированных безработных снизилась к уровню 2021 года в 1,3 раза, уровень регистрируемой безработицы уменьшился до 1,1 процента (с 1,5 процента в 2021 году). Темп роста номинальной заработной платы в крае по итогам 2022 года сложился на уровне 115,7 процента, что выше среднероссийского показателя, уровень среднемесячной заработной платы составил 38 315 рублей, в обрабатывающих производствах – 40 465 рублей.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lastRenderedPageBreak/>
        <w:t xml:space="preserve">В сфере потребления и услуг в 2022 году </w:t>
      </w:r>
      <w:r w:rsidR="00130335" w:rsidRPr="009327D4">
        <w:rPr>
          <w:color w:val="000000" w:themeColor="text1"/>
          <w:sz w:val="27"/>
          <w:szCs w:val="27"/>
        </w:rPr>
        <w:t>сохранены</w:t>
      </w:r>
      <w:r w:rsidRPr="009327D4">
        <w:rPr>
          <w:color w:val="000000" w:themeColor="text1"/>
          <w:sz w:val="27"/>
          <w:szCs w:val="27"/>
        </w:rPr>
        <w:t xml:space="preserve"> положительные темпы роста: оборот розничной торговли в сопоставимых ценах – 101,3 процента, общественного питания – 104,2 процента, объем платных услуг – 104 процента.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Доходы консолидированного бюджета края увеличились на 7,2 процента и составили 185,8 миллиарда рублей, из них налоговые и неналоговые доходы выросли на 10,1 процента и составили 105,8 миллиарда рублей. На поддержку бюджетной системы Алтайского края в течение 2022 года дополнительно привлечено из федерального бюджета 7,3 миллиарда рублей. Как и в предыдущие годы</w:t>
      </w:r>
      <w:r w:rsidR="004C4CD0" w:rsidRPr="009327D4">
        <w:rPr>
          <w:color w:val="000000" w:themeColor="text1"/>
          <w:sz w:val="27"/>
          <w:szCs w:val="27"/>
        </w:rPr>
        <w:t>,</w:t>
      </w:r>
      <w:r w:rsidRPr="009327D4">
        <w:rPr>
          <w:color w:val="000000" w:themeColor="text1"/>
          <w:sz w:val="27"/>
          <w:szCs w:val="27"/>
        </w:rPr>
        <w:t xml:space="preserve"> сохраняется социальная направленность бюджета (67 процентов объема расходов направлено на финансирование отраслей социальной сферы). Расходы консолидированного бюджета на выплату заработной платы выросли на 17 процентов и составили 57 миллиардов рублей. Финансовая поддержка местным бюджетам увеличена в 1,4 раза и составила 57 миллиардов рублей.  В течение года местным бюджетам предоставлена дополнительная финансовая помощь в размере 14,5 миллиарда рублей. В 2022 году муниципальным образованиям Алтайского края предоставлены гранты на общую сумму 100 миллионов рублей за достижение показателей социально-экономического развития.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Обеспечены высокие темпы роста в сфере жилищного строительства. Продолжена работа по созданию комфортных условий для проживания граждан, переселению граждан из аварийного жилья,</w:t>
      </w:r>
      <w:r w:rsidRPr="009327D4">
        <w:rPr>
          <w:sz w:val="27"/>
          <w:szCs w:val="27"/>
        </w:rPr>
        <w:t xml:space="preserve"> </w:t>
      </w:r>
      <w:r w:rsidRPr="009327D4">
        <w:rPr>
          <w:color w:val="000000" w:themeColor="text1"/>
          <w:sz w:val="27"/>
          <w:szCs w:val="27"/>
        </w:rPr>
        <w:t>обеспечению жильем детей-сирот.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Реализован комплекс мер по развитию дорожной инфраструктуры, обновлению муниципального транспорта, модернизации системы городского электротранспорта.</w:t>
      </w:r>
    </w:p>
    <w:p w:rsidR="008C5E08" w:rsidRPr="009327D4" w:rsidRDefault="004C2756">
      <w:pPr>
        <w:tabs>
          <w:tab w:val="left" w:pos="4582"/>
        </w:tabs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 xml:space="preserve">На протяжении 2022 года решались задачи социальной поддержки населения – семей с детьми, детей-сирот, ветеранов и пожилых граждан, людей с ограниченными возможностями здоровья. Отдельный комплекс мер поддержки был разработан для граждан, призванных на военную службу по мобилизации, и членов их семей. </w:t>
      </w:r>
    </w:p>
    <w:p w:rsidR="008C5E08" w:rsidRPr="009327D4" w:rsidRDefault="004C2756">
      <w:pPr>
        <w:tabs>
          <w:tab w:val="left" w:pos="4582"/>
        </w:tabs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 xml:space="preserve">Велась системная работа по развитию инфраструктуры, обновлению материально-технической базы медицинских организаций, улучшению </w:t>
      </w:r>
      <w:r w:rsidR="00206789" w:rsidRPr="009327D4">
        <w:rPr>
          <w:color w:val="000000" w:themeColor="text1"/>
          <w:sz w:val="27"/>
          <w:szCs w:val="27"/>
        </w:rPr>
        <w:t xml:space="preserve">маршрутизации </w:t>
      </w:r>
      <w:r w:rsidRPr="009327D4">
        <w:rPr>
          <w:color w:val="000000" w:themeColor="text1"/>
          <w:sz w:val="27"/>
          <w:szCs w:val="27"/>
        </w:rPr>
        <w:t xml:space="preserve">и качества оказания медицинской помощи, повышению доступности высокотехнологичной медицинской помощи. </w:t>
      </w:r>
    </w:p>
    <w:p w:rsidR="008C5E08" w:rsidRPr="009327D4" w:rsidRDefault="004C2756">
      <w:pPr>
        <w:tabs>
          <w:tab w:val="left" w:pos="4582"/>
        </w:tabs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Реализованы мероприятия по созданию современных условий обучения, внедрению цифровой образовательной среды, организации бесплатного горячего питания для всех учеников начальной школы, а также развитию инфраструктуры профессионального образования, культуры, физической культуры и спорта.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 xml:space="preserve">Совершенствовались меры поддержки субъектов инвестиционной деятельности. Завершено внедрение регионального инвестиционного стандарта. Проведена </w:t>
      </w:r>
      <w:proofErr w:type="spellStart"/>
      <w:r w:rsidRPr="009327D4">
        <w:rPr>
          <w:color w:val="000000" w:themeColor="text1"/>
          <w:sz w:val="27"/>
          <w:szCs w:val="27"/>
        </w:rPr>
        <w:t>докапитализация</w:t>
      </w:r>
      <w:proofErr w:type="spellEnd"/>
      <w:r w:rsidRPr="009327D4">
        <w:rPr>
          <w:color w:val="000000" w:themeColor="text1"/>
          <w:sz w:val="27"/>
          <w:szCs w:val="27"/>
        </w:rPr>
        <w:t xml:space="preserve"> региональных фондов развития (Фонда развития Алтайского края, Алтайского фонда финансирования предпринимательства). Расширен перечень резидентов территорий опережающего развития, особой экономической зоны. Реализован механизм предоставления хозяйствующим субъектам земельных участков в аренду без проведения торгов. Велась работа по развитию механизмов государственно-частного партнерства в сфере обращения с твердыми коммунальными отходами.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 xml:space="preserve">Приоритетного внимания со стороны Правительства Алтайского края требует ряд проблем, имеющихся в регионе. Сохраняется отрицательная динамика </w:t>
      </w:r>
      <w:r w:rsidR="00083087" w:rsidRPr="009327D4">
        <w:rPr>
          <w:color w:val="000000" w:themeColor="text1"/>
          <w:sz w:val="27"/>
          <w:szCs w:val="27"/>
        </w:rPr>
        <w:lastRenderedPageBreak/>
        <w:t xml:space="preserve">абсолютного </w:t>
      </w:r>
      <w:r w:rsidRPr="009327D4">
        <w:rPr>
          <w:color w:val="000000" w:themeColor="text1"/>
          <w:sz w:val="27"/>
          <w:szCs w:val="27"/>
        </w:rPr>
        <w:t>естественного движения населения края, показатели доходов граждан уступают среднероссийским значениям. Остается неудовлетворенной кадровая потребность организаци</w:t>
      </w:r>
      <w:r w:rsidR="00972E03" w:rsidRPr="009327D4">
        <w:rPr>
          <w:color w:val="000000" w:themeColor="text1"/>
          <w:sz w:val="27"/>
          <w:szCs w:val="27"/>
        </w:rPr>
        <w:t>й здравоохранения, образования, промышленности, сельского хозяйства, государственного и муниципального управления.</w:t>
      </w:r>
      <w:r w:rsidR="0095449B" w:rsidRPr="009327D4">
        <w:t xml:space="preserve"> </w:t>
      </w:r>
      <w:r w:rsidR="006B43AD" w:rsidRPr="009327D4">
        <w:rPr>
          <w:color w:val="000000" w:themeColor="text1"/>
          <w:sz w:val="27"/>
          <w:szCs w:val="27"/>
        </w:rPr>
        <w:t>Остро стоят вопросы обеспечения населения чистой питьевой водой, качественной и доступной медицинской помощью, особенно в некоторых сельских населенных пунктах, льготной деловой древесиной для индивидуального жилищного строительства и ремонта.</w:t>
      </w:r>
    </w:p>
    <w:p w:rsidR="008C5E08" w:rsidRPr="009327D4" w:rsidRDefault="008C5E08">
      <w:pPr>
        <w:ind w:firstLine="708"/>
        <w:jc w:val="both"/>
        <w:rPr>
          <w:color w:val="000000" w:themeColor="text1"/>
          <w:sz w:val="27"/>
          <w:szCs w:val="27"/>
        </w:rPr>
      </w:pP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C5E08" w:rsidRPr="009327D4" w:rsidRDefault="008C5E08">
      <w:pPr>
        <w:ind w:firstLine="708"/>
        <w:jc w:val="both"/>
        <w:rPr>
          <w:color w:val="000000" w:themeColor="text1"/>
          <w:sz w:val="27"/>
          <w:szCs w:val="27"/>
        </w:rPr>
      </w:pP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 xml:space="preserve">1. Принять к сведению: 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 xml:space="preserve">отчет о результатах деятельности Правительства Алтайского края за 2022 год по обеспечению устойчивого социально-экономического развития региона в соответствии со стратегическими приоритетами Алтайского края; 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годовой доклад о ходе реализации и об оценке эффективности государственных программ Алтайского края за 2022 год;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информацию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Алтайского края и учредителем которых является Алтайский край, за 2022 год и принимаемых мерах по совершенствованию деятельности указанных организаций.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2. Считать первоочередными задачами социально-экономического развития Алтайского края на 2023 год: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реализацию в Алтайском крае национальных целей развития в рамках исполнения Указа Президента Российской Федерации от 21 июля 2020 года № 474;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реализацию стратегии социально-экономического развития Алтайского края до 2035 года;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реализацию индивидуальной программы социально-экономического развития Алтайского края на 2020 – 2024 годы</w:t>
      </w:r>
      <w:r w:rsidR="00091D3F" w:rsidRPr="009327D4">
        <w:t xml:space="preserve"> </w:t>
      </w:r>
      <w:r w:rsidR="00091D3F" w:rsidRPr="009327D4">
        <w:rPr>
          <w:color w:val="000000" w:themeColor="text1"/>
          <w:sz w:val="27"/>
          <w:szCs w:val="27"/>
        </w:rPr>
        <w:t>и разработку индивидуальной программы социально-экономического развития Алтайского края на 2025 – 2035 годы</w:t>
      </w:r>
      <w:r w:rsidRPr="009327D4">
        <w:rPr>
          <w:color w:val="000000" w:themeColor="text1"/>
          <w:sz w:val="27"/>
          <w:szCs w:val="27"/>
        </w:rPr>
        <w:t>;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 xml:space="preserve">реализацию плана мероприятий по обеспечению экономической устойчивости Алтайского края и сбалансированности консолидированного бюджета региона в условиях внешнего </w:t>
      </w:r>
      <w:proofErr w:type="spellStart"/>
      <w:r w:rsidRPr="009327D4">
        <w:rPr>
          <w:color w:val="000000" w:themeColor="text1"/>
          <w:sz w:val="27"/>
          <w:szCs w:val="27"/>
        </w:rPr>
        <w:t>санкционного</w:t>
      </w:r>
      <w:proofErr w:type="spellEnd"/>
      <w:r w:rsidRPr="009327D4">
        <w:rPr>
          <w:color w:val="000000" w:themeColor="text1"/>
          <w:sz w:val="27"/>
          <w:szCs w:val="27"/>
        </w:rPr>
        <w:t xml:space="preserve"> давления на 2022 – 2023 годы;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переход на новую систему управления государственными программами Алтайского края с учетом их синхронизации с государственными программами Российской Федерации;</w:t>
      </w:r>
    </w:p>
    <w:p w:rsidR="00972E03" w:rsidRPr="009327D4" w:rsidRDefault="00972E03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усиление контроля за эффективностью расходования бюджетных средств, организацией и проведением конкурсных процедур при закупках для обеспечения государственных и муниципальных нужд;</w:t>
      </w:r>
    </w:p>
    <w:p w:rsidR="00F93A16" w:rsidRPr="009327D4" w:rsidRDefault="00F93A1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сохранение финансовой поддержки муниципальных образований;</w:t>
      </w:r>
    </w:p>
    <w:p w:rsidR="002E7A0F" w:rsidRPr="009327D4" w:rsidRDefault="002E7A0F" w:rsidP="002E7A0F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повышение престижа государственной и муниципальной службы;</w:t>
      </w:r>
    </w:p>
    <w:p w:rsidR="00027D68" w:rsidRPr="009327D4" w:rsidRDefault="00027D68" w:rsidP="00027D68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создание условий для закрепления молодежи в сельских территориях;</w:t>
      </w:r>
    </w:p>
    <w:p w:rsidR="002E7A0F" w:rsidRPr="009327D4" w:rsidRDefault="002E7A0F" w:rsidP="002E7A0F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lastRenderedPageBreak/>
        <w:t>содействие кадровому обеспечению отраслей социальной сферы, экономики,</w:t>
      </w:r>
      <w:r w:rsidRPr="009327D4">
        <w:t xml:space="preserve"> </w:t>
      </w:r>
      <w:r w:rsidRPr="009327D4">
        <w:rPr>
          <w:color w:val="000000" w:themeColor="text1"/>
          <w:sz w:val="27"/>
          <w:szCs w:val="27"/>
        </w:rPr>
        <w:t>в том числе за счет обновления материально-технической базы средних специальных учебных заведений и реализации федерального проекта «</w:t>
      </w:r>
      <w:proofErr w:type="spellStart"/>
      <w:r w:rsidRPr="009327D4">
        <w:rPr>
          <w:color w:val="000000" w:themeColor="text1"/>
          <w:sz w:val="27"/>
          <w:szCs w:val="27"/>
        </w:rPr>
        <w:t>Профессионалитет</w:t>
      </w:r>
      <w:proofErr w:type="spellEnd"/>
      <w:r w:rsidRPr="009327D4">
        <w:rPr>
          <w:color w:val="000000" w:themeColor="text1"/>
          <w:sz w:val="27"/>
          <w:szCs w:val="27"/>
        </w:rPr>
        <w:t>», повышению доходов граждан;</w:t>
      </w:r>
    </w:p>
    <w:p w:rsidR="00C07AB6" w:rsidRPr="009327D4" w:rsidRDefault="00C07AB6" w:rsidP="00C07AB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предоставление мер социальной поддержки населению и выполнение социальных обязательств перед гражданами, в том числе по обеспечению своевременной выплаты и повышению заработной платы работникам бюджетной сферы;</w:t>
      </w:r>
    </w:p>
    <w:p w:rsidR="002E7A0F" w:rsidRPr="009327D4" w:rsidRDefault="002E7A0F" w:rsidP="002E7A0F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проведение оценки демографического потенциала региона и формирование перечня мероприятий, направленных на решение вопросов в области повышения рождаемости и поддержки семей с детьми;</w:t>
      </w:r>
    </w:p>
    <w:p w:rsidR="002E7A0F" w:rsidRPr="009327D4" w:rsidRDefault="002E7A0F" w:rsidP="002E7A0F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 xml:space="preserve">обеспечение комплексной адресной поддержки участников специальной военной операции и членов их семей; </w:t>
      </w:r>
    </w:p>
    <w:p w:rsidR="00027D68" w:rsidRPr="009327D4" w:rsidRDefault="00027D68" w:rsidP="00027D68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внедрение новых технологий при предоставлении государственной социальной помощи на основании социального контракта;</w:t>
      </w:r>
    </w:p>
    <w:p w:rsidR="00C07AB6" w:rsidRPr="009327D4" w:rsidRDefault="00C07AB6" w:rsidP="00C07AB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реализация мер по переселению граждан из аварийного жилья, обеспечению жильем детей-сирот, содействию в предоставлении земельных участков многодетным семьям;</w:t>
      </w:r>
    </w:p>
    <w:p w:rsidR="00027D68" w:rsidRPr="009327D4" w:rsidRDefault="00027D68" w:rsidP="00027D68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 xml:space="preserve">продолжение </w:t>
      </w:r>
      <w:r w:rsidR="00850767" w:rsidRPr="009327D4">
        <w:rPr>
          <w:color w:val="000000" w:themeColor="text1"/>
          <w:sz w:val="27"/>
          <w:szCs w:val="27"/>
        </w:rPr>
        <w:t xml:space="preserve">работы по </w:t>
      </w:r>
      <w:r w:rsidRPr="009327D4">
        <w:rPr>
          <w:color w:val="000000" w:themeColor="text1"/>
          <w:sz w:val="27"/>
          <w:szCs w:val="27"/>
        </w:rPr>
        <w:t>формировани</w:t>
      </w:r>
      <w:r w:rsidR="00850767" w:rsidRPr="009327D4">
        <w:rPr>
          <w:color w:val="000000" w:themeColor="text1"/>
          <w:sz w:val="27"/>
          <w:szCs w:val="27"/>
        </w:rPr>
        <w:t>ю</w:t>
      </w:r>
      <w:r w:rsidRPr="009327D4">
        <w:rPr>
          <w:color w:val="000000" w:themeColor="text1"/>
          <w:sz w:val="27"/>
          <w:szCs w:val="27"/>
        </w:rPr>
        <w:t xml:space="preserve"> фонда муниципального жилья;</w:t>
      </w:r>
    </w:p>
    <w:p w:rsidR="00992513" w:rsidRPr="009327D4" w:rsidRDefault="00992513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повышение доступности первичной медико-санитарной и специализированной медицинской помощи для населения Алтайского края;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повышение доступности лекарственной помощи для льготных категорий населения;</w:t>
      </w:r>
    </w:p>
    <w:p w:rsidR="00027D68" w:rsidRPr="009327D4" w:rsidRDefault="00027D68" w:rsidP="00027D68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укрепление материально-технической базы медицинских организаций;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дальнейшее внедрение цифровых технологий и платформенных решений, формирующих единый цифровой контур здравоохранения;</w:t>
      </w:r>
    </w:p>
    <w:p w:rsidR="00027D68" w:rsidRPr="009327D4" w:rsidRDefault="00027D68" w:rsidP="00027D68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создание условий для развития талантов и способностей детей, в том числе путем развития современной инфраструктуры образовательных организаций;</w:t>
      </w:r>
    </w:p>
    <w:p w:rsidR="00027D68" w:rsidRPr="009327D4" w:rsidRDefault="00027D68" w:rsidP="00027D68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реализацию направлений по защите традиционных российских духовно-нравственных ценностей, культуры и исторической памяти;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создание условий для занятия населения физической культурой и массовыми видами спорта, в том числе путем развития инфраструктуры;</w:t>
      </w:r>
    </w:p>
    <w:p w:rsidR="00027D68" w:rsidRPr="009327D4" w:rsidRDefault="00027D68" w:rsidP="00027D68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обеспечение надежности функционирования систем жизнеобеспечения населения;</w:t>
      </w:r>
    </w:p>
    <w:p w:rsidR="00027D68" w:rsidRPr="009327D4" w:rsidRDefault="00027D68" w:rsidP="00027D68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реализацию работ по реконструкции и капитальному ремонту систем водоснабжения и водоотведения, капитальному ремонту тепловых сетей;</w:t>
      </w:r>
    </w:p>
    <w:p w:rsidR="00027D68" w:rsidRPr="009327D4" w:rsidRDefault="00027D68" w:rsidP="00027D68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создание условий для реализации программы социальной газификации с соблюдением установленных сроков;</w:t>
      </w:r>
    </w:p>
    <w:p w:rsidR="00027D68" w:rsidRPr="009327D4" w:rsidRDefault="00027D68" w:rsidP="00027D68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создание объектов инфраструктуры по обращению с отходами, включая полигоны, мусороперерабатывающие комплексы, объекты утилизации ТКО;</w:t>
      </w:r>
    </w:p>
    <w:p w:rsidR="00027D68" w:rsidRPr="009327D4" w:rsidRDefault="00027D68" w:rsidP="00027D68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совершенствование комплекса мер по обращению с животными без владельцев;</w:t>
      </w:r>
    </w:p>
    <w:p w:rsidR="00027D68" w:rsidRPr="009327D4" w:rsidRDefault="00027D68" w:rsidP="00027D68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создание условий для развития транспортной инфраструктуры;</w:t>
      </w:r>
    </w:p>
    <w:p w:rsidR="00027D68" w:rsidRPr="009327D4" w:rsidRDefault="00027D68" w:rsidP="00027D68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создание условий для ускорения темпов устранения цифрового неравенства</w:t>
      </w:r>
      <w:r w:rsidRPr="009327D4">
        <w:t>;</w:t>
      </w:r>
    </w:p>
    <w:p w:rsidR="00027D68" w:rsidRPr="009327D4" w:rsidRDefault="00027D68" w:rsidP="00027D68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развитие мер государственной финансовой и нефинансовой поддержки инвестиционной и предпринимательской деятельности, включая расширение практики применения федеральной поддержки;</w:t>
      </w:r>
    </w:p>
    <w:p w:rsidR="00027D68" w:rsidRPr="009327D4" w:rsidRDefault="00027D68" w:rsidP="00027D68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создание условий для технологического перевооружения в промышленности и сельском хозяйстве, совершенствование системы государственной поддержки в указанных отраслях экономики;</w:t>
      </w:r>
    </w:p>
    <w:p w:rsidR="00901705" w:rsidRPr="009327D4" w:rsidRDefault="00901705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создание условий для популяризации и развития науки и инноваций, закрепления талантливой молодежи в научно-технологическом секторе края;</w:t>
      </w:r>
    </w:p>
    <w:p w:rsidR="004B391E" w:rsidRPr="009327D4" w:rsidRDefault="00091D3F" w:rsidP="004B391E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продолжение работы по созданию промышленных технопарков, индустриальных парков, особых экономических зон промышленно-производственного типа</w:t>
      </w:r>
      <w:r w:rsidR="004B391E" w:rsidRPr="009327D4">
        <w:rPr>
          <w:color w:val="000000" w:themeColor="text1"/>
          <w:sz w:val="27"/>
          <w:szCs w:val="27"/>
        </w:rPr>
        <w:t>;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привлечение новых резидентов территорий опережающего развития и особой экономической зоны;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содействие в продвижении продукции региональных предприятий, в том числе обладающих экспортным потенциалом, на новые рынки</w:t>
      </w:r>
      <w:r w:rsidR="00027D68" w:rsidRPr="009327D4">
        <w:rPr>
          <w:color w:val="000000" w:themeColor="text1"/>
          <w:sz w:val="27"/>
          <w:szCs w:val="27"/>
        </w:rPr>
        <w:t>.</w:t>
      </w:r>
    </w:p>
    <w:p w:rsidR="008C5E08" w:rsidRPr="009327D4" w:rsidRDefault="004C2756">
      <w:pPr>
        <w:ind w:firstLine="708"/>
        <w:jc w:val="both"/>
        <w:rPr>
          <w:color w:val="000000" w:themeColor="text1"/>
          <w:sz w:val="27"/>
          <w:szCs w:val="27"/>
        </w:rPr>
      </w:pPr>
      <w:r w:rsidRPr="009327D4">
        <w:rPr>
          <w:color w:val="000000" w:themeColor="text1"/>
          <w:sz w:val="27"/>
          <w:szCs w:val="27"/>
        </w:rPr>
        <w:t>3. Настоящее постановление опубликовать в газете «Алтайская правда».</w:t>
      </w:r>
    </w:p>
    <w:p w:rsidR="008C5E08" w:rsidRPr="009327D4" w:rsidRDefault="008C5E08">
      <w:pPr>
        <w:jc w:val="both"/>
        <w:rPr>
          <w:color w:val="000000" w:themeColor="text1"/>
          <w:sz w:val="27"/>
          <w:szCs w:val="27"/>
        </w:rPr>
      </w:pPr>
    </w:p>
    <w:p w:rsidR="008C5E08" w:rsidRPr="009327D4" w:rsidRDefault="008C5E08">
      <w:pPr>
        <w:jc w:val="both"/>
        <w:rPr>
          <w:color w:val="000000" w:themeColor="text1"/>
          <w:sz w:val="27"/>
          <w:szCs w:val="27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3304"/>
      </w:tblGrid>
      <w:tr w:rsidR="008C5E08" w:rsidRPr="009327D4">
        <w:tc>
          <w:tcPr>
            <w:tcW w:w="6335" w:type="dxa"/>
          </w:tcPr>
          <w:p w:rsidR="008C5E08" w:rsidRPr="009327D4" w:rsidRDefault="004C275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9327D4">
              <w:rPr>
                <w:color w:val="000000" w:themeColor="text1"/>
                <w:sz w:val="27"/>
                <w:szCs w:val="27"/>
              </w:rPr>
              <w:t>Председатель Алтайского краевого</w:t>
            </w:r>
          </w:p>
          <w:p w:rsidR="008C5E08" w:rsidRPr="009327D4" w:rsidRDefault="004C275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9327D4">
              <w:rPr>
                <w:color w:val="000000" w:themeColor="text1"/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304" w:type="dxa"/>
            <w:vAlign w:val="bottom"/>
          </w:tcPr>
          <w:p w:rsidR="008C5E08" w:rsidRPr="009327D4" w:rsidRDefault="004C2756">
            <w:pPr>
              <w:jc w:val="right"/>
              <w:rPr>
                <w:color w:val="000000" w:themeColor="text1"/>
                <w:sz w:val="27"/>
                <w:szCs w:val="27"/>
              </w:rPr>
            </w:pPr>
            <w:r w:rsidRPr="009327D4">
              <w:rPr>
                <w:color w:val="000000" w:themeColor="text1"/>
                <w:sz w:val="27"/>
                <w:szCs w:val="27"/>
              </w:rPr>
              <w:t>А.А. Романенко</w:t>
            </w:r>
          </w:p>
        </w:tc>
      </w:tr>
    </w:tbl>
    <w:p w:rsidR="008C5E08" w:rsidRPr="009327D4" w:rsidRDefault="008C5E08">
      <w:pPr>
        <w:jc w:val="both"/>
        <w:rPr>
          <w:color w:val="000000" w:themeColor="text1"/>
          <w:sz w:val="27"/>
          <w:szCs w:val="27"/>
        </w:rPr>
      </w:pPr>
    </w:p>
    <w:sectPr w:rsidR="008C5E08" w:rsidRPr="009327D4">
      <w:headerReference w:type="default" r:id="rId8"/>
      <w:headerReference w:type="first" r:id="rId9"/>
      <w:pgSz w:w="11906" w:h="16838"/>
      <w:pgMar w:top="1134" w:right="70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A0F" w:rsidRDefault="002E7A0F">
      <w:r>
        <w:separator/>
      </w:r>
    </w:p>
  </w:endnote>
  <w:endnote w:type="continuationSeparator" w:id="0">
    <w:p w:rsidR="002E7A0F" w:rsidRDefault="002E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A0F" w:rsidRDefault="002E7A0F">
      <w:r>
        <w:separator/>
      </w:r>
    </w:p>
  </w:footnote>
  <w:footnote w:type="continuationSeparator" w:id="0">
    <w:p w:rsidR="002E7A0F" w:rsidRDefault="002E7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E7A0F" w:rsidRDefault="002E7A0F" w:rsidP="00D44134">
        <w:pPr>
          <w:pStyle w:val="a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9327D4">
          <w:rPr>
            <w:noProof/>
            <w:sz w:val="24"/>
            <w:szCs w:val="24"/>
          </w:rPr>
          <w:t>5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0F" w:rsidRDefault="002E7A0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6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7A0F" w:rsidRPr="00D44134" w:rsidRDefault="002E7A0F">
    <w:pPr>
      <w:spacing w:line="480" w:lineRule="auto"/>
      <w:jc w:val="center"/>
      <w:rPr>
        <w:b/>
        <w:sz w:val="26"/>
        <w:szCs w:val="26"/>
      </w:rPr>
    </w:pPr>
    <w:r w:rsidRPr="00D44134">
      <w:rPr>
        <w:b/>
        <w:sz w:val="26"/>
        <w:szCs w:val="26"/>
      </w:rPr>
      <w:t>АЛТАЙСКОЕ КРАЕВОЕ ЗАКОНОДАТЕЛЬНОЕ СОБРАНИЕ</w:t>
    </w:r>
  </w:p>
  <w:p w:rsidR="002E7A0F" w:rsidRPr="00D44134" w:rsidRDefault="002E7A0F">
    <w:pPr>
      <w:spacing w:line="480" w:lineRule="auto"/>
      <w:jc w:val="center"/>
      <w:rPr>
        <w:b/>
        <w:spacing w:val="80"/>
        <w:sz w:val="36"/>
        <w:szCs w:val="36"/>
      </w:rPr>
    </w:pPr>
    <w:r w:rsidRPr="00D44134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E7A0F">
      <w:tc>
        <w:tcPr>
          <w:tcW w:w="2551" w:type="dxa"/>
          <w:tcBorders>
            <w:bottom w:val="single" w:sz="4" w:space="0" w:color="auto"/>
          </w:tcBorders>
        </w:tcPr>
        <w:p w:rsidR="002E7A0F" w:rsidRDefault="002E7A0F">
          <w:pPr>
            <w:rPr>
              <w:szCs w:val="28"/>
            </w:rPr>
          </w:pPr>
        </w:p>
      </w:tc>
      <w:tc>
        <w:tcPr>
          <w:tcW w:w="3969" w:type="dxa"/>
        </w:tcPr>
        <w:p w:rsidR="002E7A0F" w:rsidRDefault="002E7A0F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2E7A0F" w:rsidRDefault="002E7A0F"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2E7A0F" w:rsidRDefault="002E7A0F">
          <w:pPr>
            <w:rPr>
              <w:szCs w:val="28"/>
            </w:rPr>
          </w:pPr>
        </w:p>
      </w:tc>
    </w:tr>
  </w:tbl>
  <w:p w:rsidR="002E7A0F" w:rsidRDefault="002E7A0F"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E393E"/>
    <w:multiLevelType w:val="hybridMultilevel"/>
    <w:tmpl w:val="8800FD94"/>
    <w:lvl w:ilvl="0" w:tplc="A2C6EEE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885BE2"/>
    <w:multiLevelType w:val="multilevel"/>
    <w:tmpl w:val="94DE8A42"/>
    <w:lvl w:ilvl="0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A834C72"/>
    <w:multiLevelType w:val="hybridMultilevel"/>
    <w:tmpl w:val="0BDC5D74"/>
    <w:lvl w:ilvl="0" w:tplc="A2C6EEE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DB1DC5"/>
    <w:multiLevelType w:val="multilevel"/>
    <w:tmpl w:val="66367BF6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 w15:restartNumberingAfterBreak="0">
    <w:nsid w:val="58F904FD"/>
    <w:multiLevelType w:val="multilevel"/>
    <w:tmpl w:val="F9AE2CA4"/>
    <w:lvl w:ilvl="0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08"/>
    <w:rsid w:val="00027D68"/>
    <w:rsid w:val="00083087"/>
    <w:rsid w:val="00091D3F"/>
    <w:rsid w:val="000D0273"/>
    <w:rsid w:val="001147C7"/>
    <w:rsid w:val="00117BC9"/>
    <w:rsid w:val="00130335"/>
    <w:rsid w:val="001947FA"/>
    <w:rsid w:val="00206789"/>
    <w:rsid w:val="00273DC2"/>
    <w:rsid w:val="00287A2D"/>
    <w:rsid w:val="002D43AC"/>
    <w:rsid w:val="002E7A0F"/>
    <w:rsid w:val="003213C4"/>
    <w:rsid w:val="00387CC9"/>
    <w:rsid w:val="003B5455"/>
    <w:rsid w:val="00420FBB"/>
    <w:rsid w:val="004B391E"/>
    <w:rsid w:val="004C2756"/>
    <w:rsid w:val="004C4CD0"/>
    <w:rsid w:val="00543320"/>
    <w:rsid w:val="0054362C"/>
    <w:rsid w:val="005722B9"/>
    <w:rsid w:val="00655D4C"/>
    <w:rsid w:val="006B43AD"/>
    <w:rsid w:val="007409F2"/>
    <w:rsid w:val="007F2B46"/>
    <w:rsid w:val="00807CB2"/>
    <w:rsid w:val="00834943"/>
    <w:rsid w:val="00850767"/>
    <w:rsid w:val="00851BC5"/>
    <w:rsid w:val="008C5E08"/>
    <w:rsid w:val="00901705"/>
    <w:rsid w:val="009327D4"/>
    <w:rsid w:val="0095449B"/>
    <w:rsid w:val="00963D65"/>
    <w:rsid w:val="00972E03"/>
    <w:rsid w:val="009911F0"/>
    <w:rsid w:val="00992513"/>
    <w:rsid w:val="00B4754D"/>
    <w:rsid w:val="00B75983"/>
    <w:rsid w:val="00BB0A62"/>
    <w:rsid w:val="00C003CE"/>
    <w:rsid w:val="00C07AB6"/>
    <w:rsid w:val="00C33870"/>
    <w:rsid w:val="00C71CC3"/>
    <w:rsid w:val="00CB5FD4"/>
    <w:rsid w:val="00CE673B"/>
    <w:rsid w:val="00D04900"/>
    <w:rsid w:val="00D36CEE"/>
    <w:rsid w:val="00D44134"/>
    <w:rsid w:val="00E00E30"/>
    <w:rsid w:val="00E278C7"/>
    <w:rsid w:val="00F257CC"/>
    <w:rsid w:val="00F31F93"/>
    <w:rsid w:val="00F42640"/>
    <w:rsid w:val="00F93A16"/>
    <w:rsid w:val="00FE0F9B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9FE28-B996-4F0F-9401-DA361E59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paragraph" w:styleId="ab">
    <w:name w:val="List Paragraph"/>
    <w:aliases w:val="Bullet List,FooterText,numbered,ПАРАГРАФ,Абзац списка для документа,Абзац списка основной,Текст с номером,Варианты ответов,Абзац списка1,List Paragraph"/>
    <w:basedOn w:val="a"/>
    <w:link w:val="ac"/>
    <w:qFormat/>
    <w:pPr>
      <w:ind w:left="720"/>
      <w:contextualSpacing/>
    </w:pPr>
  </w:style>
  <w:style w:type="character" w:customStyle="1" w:styleId="ac">
    <w:name w:val="Абзац списка Знак"/>
    <w:aliases w:val="Bullet List Знак,FooterText Знак,numbered Знак,ПАРАГРАФ Знак,Абзац списка для документа Знак,Абзац списка основной Знак,Текст с номером Знак,Варианты ответов Знак,Абзац списка1 Знак,List Paragraph Знак"/>
    <w:link w:val="ab"/>
    <w:locked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customStyle="1" w:styleId="bx-messenger-message">
    <w:name w:val="bx-messenger-message"/>
    <w:basedOn w:val="a0"/>
  </w:style>
  <w:style w:type="paragraph" w:styleId="ae">
    <w:name w:val="Plain Text"/>
    <w:basedOn w:val="a"/>
    <w:link w:val="af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basedOn w:val="a0"/>
    <w:link w:val="ae"/>
    <w:uiPriority w:val="99"/>
    <w:rPr>
      <w:rFonts w:ascii="Consolas" w:eastAsia="Calibri" w:hAnsi="Consolas" w:cs="Times New Roman"/>
      <w:sz w:val="21"/>
      <w:szCs w:val="21"/>
      <w:lang w:val="x-none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f3"/>
    <w:uiPriority w:val="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3">
    <w:name w:val="Body Text"/>
    <w:basedOn w:val="a"/>
    <w:link w:val="1"/>
    <w:uiPriority w:val="99"/>
    <w:pPr>
      <w:widowControl w:val="0"/>
      <w:shd w:val="clear" w:color="auto" w:fill="FFFFFF"/>
      <w:ind w:firstLine="400"/>
    </w:pPr>
    <w:rPr>
      <w:rFonts w:eastAsiaTheme="minorHAnsi"/>
      <w:sz w:val="26"/>
      <w:szCs w:val="26"/>
      <w:lang w:eastAsia="en-US"/>
    </w:rPr>
  </w:style>
  <w:style w:type="character" w:customStyle="1" w:styleId="af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Normal (Web)"/>
    <w:aliases w:val=" Знак Знак Знак,Обычный (Web) Знак Знак,Обычный (веб) Знак Знак,Обычный (Web) Знак1 Знак, Знак Знак Знак1"/>
    <w:basedOn w:val="a"/>
    <w:link w:val="af6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2">
    <w:name w:val="Основной текст с отступом 22"/>
    <w:basedOn w:val="a"/>
    <w:pPr>
      <w:ind w:firstLine="567"/>
      <w:jc w:val="both"/>
    </w:pPr>
    <w:rPr>
      <w:rFonts w:ascii="Arial" w:hAnsi="Arial" w:cs="Arial"/>
      <w:lang w:eastAsia="zh-CN"/>
    </w:rPr>
  </w:style>
  <w:style w:type="character" w:customStyle="1" w:styleId="af6">
    <w:name w:val="Обычный (веб) Знак"/>
    <w:aliases w:val=" Знак Знак Знак Знак,Обычный (Web) Знак Знак Знак,Обычный (веб) Знак Знак Знак,Обычный (Web) Знак1 Знак Знак, Знак Знак Знак1 Знак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1"/>
    <w:pPr>
      <w:widowControl w:val="0"/>
      <w:shd w:val="clear" w:color="auto" w:fill="FFFFFF"/>
      <w:spacing w:after="240" w:line="319" w:lineRule="exact"/>
      <w:jc w:val="center"/>
    </w:pPr>
    <w:rPr>
      <w:rFonts w:cstheme="minorBidi"/>
      <w:szCs w:val="28"/>
      <w:lang w:eastAsia="en-US"/>
    </w:rPr>
  </w:style>
  <w:style w:type="character" w:customStyle="1" w:styleId="ListParagraphChar">
    <w:name w:val="List Paragraph Char"/>
    <w:locked/>
    <w:rPr>
      <w:rFonts w:ascii="Calibri" w:eastAsia="Times New Roman" w:hAnsi="Calibri" w:cs="Times New Roman"/>
      <w:szCs w:val="20"/>
    </w:rPr>
  </w:style>
  <w:style w:type="character" w:customStyle="1" w:styleId="FontStyle14">
    <w:name w:val="Font Style14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Pr>
      <w:rFonts w:ascii="Times New Roman" w:hAnsi="Times New Roman" w:cs="Times New Roman" w:hint="default"/>
      <w:sz w:val="22"/>
      <w:szCs w:val="22"/>
    </w:rPr>
  </w:style>
  <w:style w:type="character" w:customStyle="1" w:styleId="af8">
    <w:name w:val="Основной текст_"/>
    <w:basedOn w:val="a0"/>
    <w:link w:val="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8"/>
    <w:pPr>
      <w:widowControl w:val="0"/>
      <w:shd w:val="clear" w:color="auto" w:fill="FFFFFF"/>
      <w:ind w:firstLine="400"/>
    </w:pPr>
    <w:rPr>
      <w:szCs w:val="28"/>
      <w:lang w:eastAsia="en-US"/>
    </w:rPr>
  </w:style>
  <w:style w:type="character" w:styleId="af9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E240-7553-44BE-ADEF-495B3AF0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3</cp:revision>
  <cp:lastPrinted>2023-05-22T10:52:00Z</cp:lastPrinted>
  <dcterms:created xsi:type="dcterms:W3CDTF">2023-05-22T10:49:00Z</dcterms:created>
  <dcterms:modified xsi:type="dcterms:W3CDTF">2023-05-22T10:52:00Z</dcterms:modified>
</cp:coreProperties>
</file>